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Recall of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Recall of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§2505. RECALL OF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