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CONSOLIDATION, SECESSION AND ANNEXATION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113. CONSOLIDATION, SECESSION AND ANNEXATION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