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w:t>
        <w:t xml:space="preserve">.  </w:t>
      </w:r>
      <w:r>
        <w:rPr>
          <w:b/>
        </w:rPr>
        <w:t xml:space="preserve">Request for court to compel obedience</w:t>
      </w:r>
    </w:p>
    <w:p>
      <w:pPr>
        <w:jc w:val="both"/>
        <w:spacing w:before="100" w:after="100"/>
        <w:ind w:start="360"/>
        <w:ind w:firstLine="360"/>
      </w:pPr>
      <w:r>
        <w:rPr/>
      </w:r>
      <w:r>
        <w:rPr/>
      </w:r>
      <w:r>
        <w:t xml:space="preserve">The decision to apply to the Superior Court to compel obedience to a subpoena issued by the committee shall be by investigating committee action.</w:t>
      </w:r>
      <w:r>
        <w:t xml:space="preserve">  </w:t>
      </w:r>
      <w:r xmlns:wp="http://schemas.openxmlformats.org/drawingml/2010/wordprocessingDrawing" xmlns:w15="http://schemas.microsoft.com/office/word/2012/wordml">
        <w:rPr>
          <w:rFonts w:ascii="Arial" w:hAnsi="Arial" w:cs="Arial"/>
          <w:sz w:val="22"/>
          <w:szCs w:val="22"/>
        </w:rPr>
        <w:t xml:space="preserve">[PL 1975, c. 593,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 Request for court to compel obedience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 Request for court to compel obedience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§430. REQUEST FOR COURT TO COMPEL OBEDIENCE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