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LEGISLATIVE FINANCIAL OVERSIGHT</w:t>
      </w:r>
    </w:p>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591, §AA1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LEGISLATIVE FINANCIAL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LEGISLATIVE FINANCIAL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24. LEGISLATIVE FINANCIAL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