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MAINE-CANADIAN LEGISLATIVE RELATIONS</w:t>
      </w:r>
    </w:p>
    <w:p>
      <w:pPr>
        <w:jc w:val="center"/>
        <w:ind w:start="360"/>
        <w:spacing w:before="300" w:after="300"/>
      </w:pPr>
      <w:r>
        <w:rPr>
          <w:b/>
        </w:rPr>
        <w:t>SUBCHAPTER</w:t>
        <w:t xml:space="preserve"> </w:t>
        <w:t>1</w:t>
      </w:r>
    </w:p>
    <w:p>
      <w:pPr>
        <w:jc w:val="center"/>
        <w:ind w:start="360"/>
        <w:spacing w:before="300" w:after="300"/>
      </w:pPr>
      <w:r>
        <w:rPr>
          <w:b/>
        </w:rPr>
        <w:t xml:space="preserve">MAINE-CANADIAN LEGISLATIVE ADVISORY COMMISSION AND OFFICE</w:t>
      </w:r>
    </w:p>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jc w:val="center"/>
        <w:ind w:start="360"/>
        <w:spacing w:before="300" w:after="300"/>
      </w:pPr>
      <w:r>
        <w:rPr>
          <w:b/>
        </w:rPr>
        <w:t>SUBCHAPTER</w:t>
        <w:t xml:space="preserve"> </w:t>
        <w:t>2</w:t>
      </w:r>
    </w:p>
    <w:p>
      <w:pPr>
        <w:jc w:val="center"/>
        <w:ind w:start="360"/>
        <w:spacing w:before="300" w:after="300"/>
      </w:pPr>
      <w:r>
        <w:rPr>
          <w:b/>
        </w:rPr>
        <w:t xml:space="preserve">NEW ENGLAND AND EASTERN CANADA LEGISLATIVE COMMISSION</w:t>
      </w:r>
    </w:p>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MAINE-CANADIAN LEGISLATIVE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MAINE-CANADIAN LEGISLATIVE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10. MAINE-CANADIAN LEGISLATIVE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