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Defaced or missing identification numbers</w:t>
      </w:r>
    </w:p>
    <w:p>
      <w:pPr>
        <w:jc w:val="both"/>
        <w:spacing w:before="100" w:after="0"/>
        <w:ind w:start="360"/>
        <w:ind w:firstLine="360"/>
      </w:pPr>
      <w:r>
        <w:rPr>
          <w:b/>
        </w:rPr>
        <w:t>1</w:t>
        <w:t xml:space="preserve">.  </w:t>
      </w:r>
      <w:r>
        <w:rPr>
          <w:b/>
        </w:rPr>
        <w:t xml:space="preserve">Assignment of special number.</w:t>
        <w:t xml:space="preserve"> </w:t>
      </w:r>
      <w:r>
        <w:t xml:space="preserve"> </w:t>
      </w:r>
      <w:r>
        <w:t xml:space="preserve">When an engine, serial or vehicle identification number has been omitted, altered, removed or defaced, the Secretary of State shall assign and attach to the vehicle a special number and maintain a record of the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sells, exchanges, offers to sell or exchange, transfers or uses a manufacturer's vehicle identification or serial number plate that has been removed from the vehicle to which it was originally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Defaced or missing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Defaced or missing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§407. DEFACED OR MISSING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