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w:t>
        <w:t xml:space="preserve">.  </w:t>
      </w:r>
      <w:r>
        <w:rPr>
          <w:b/>
        </w:rPr>
        <w:t xml:space="preserve">Confidentiality for public safety</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Notwithstanding any other provision of law, the Secretary of State or a designee of the Secretary of State may hold records relating to a person's motor vehicle registration and driver's license confidential for a specified period of time when the following conditions are met:</w:t>
      </w:r>
    </w:p>
    <w:p>
      <w:pPr>
        <w:jc w:val="both"/>
        <w:spacing w:before="100" w:after="0"/>
        <w:ind w:start="720"/>
      </w:pPr>
      <w:r>
        <w:rPr/>
        <w:t>A</w:t>
        <w:t xml:space="preserve">.  </w:t>
      </w:r>
      <w:r>
        <w:rPr/>
      </w:r>
      <w:r>
        <w:t xml:space="preserve">The Secretary of State has received a written request along with a copy of a protection order that has been issued under </w:t>
      </w:r>
      <w:r>
        <w:t>Title 5, section 4654</w:t>
      </w:r>
      <w:r>
        <w:t xml:space="preserve"> or </w:t>
      </w:r>
      <w:r>
        <w:t>4655</w:t>
      </w:r>
      <w:r>
        <w:t xml:space="preserve">; </w:t>
      </w:r>
      <w:r>
        <w:t>Title 15, section 321</w:t>
      </w:r>
      <w:r>
        <w:t xml:space="preserve">; </w:t>
      </w:r>
      <w:r>
        <w:t>Title 19‑A, section 4108</w:t>
      </w:r>
      <w:r>
        <w:t xml:space="preserve"> or </w:t>
      </w:r>
      <w:r>
        <w:t>4110</w:t>
      </w:r>
      <w:r>
        <w:t xml:space="preserve">; or </w:t>
      </w:r>
      <w:r>
        <w:t>Title 22, chapter 1071</w:t>
      </w:r>
      <w:r>
        <w:t xml:space="preserve"> to protect the requestor from harassment or abuse; or</w:t>
      </w:r>
      <w:r>
        <w:t xml:space="preserve">  </w:t>
      </w:r>
      <w:r xmlns:wp="http://schemas.openxmlformats.org/drawingml/2010/wordprocessingDrawing" xmlns:w15="http://schemas.microsoft.com/office/word/2012/wordml">
        <w:rPr>
          <w:rFonts w:ascii="Arial" w:hAnsi="Arial" w:cs="Arial"/>
          <w:sz w:val="22"/>
          <w:szCs w:val="22"/>
        </w:rPr>
        <w:t xml:space="preserve">[PL 2023, c. 405, Pt. A, §108 (AMD).]</w:t>
      </w:r>
    </w:p>
    <w:p>
      <w:pPr>
        <w:jc w:val="both"/>
        <w:spacing w:before="100" w:after="0"/>
        <w:ind w:start="720"/>
      </w:pPr>
      <w:r>
        <w:rPr/>
        <w:t>B</w:t>
        <w:t xml:space="preserve">.  </w:t>
      </w:r>
      <w:r>
        <w:rPr/>
      </w:r>
      <w:r>
        <w:t xml:space="preserve">The Secretary of State or a designee of the Secretary of State has:</w:t>
      </w:r>
    </w:p>
    <w:p>
      <w:pPr>
        <w:jc w:val="both"/>
        <w:spacing w:before="100" w:after="0"/>
        <w:ind w:start="1080"/>
      </w:pPr>
      <w:r>
        <w:rPr/>
        <w:t>(</w:t>
        <w:t>1</w:t>
        <w:t xml:space="preserve">)  </w:t>
      </w:r>
      <w:r>
        <w:rPr/>
      </w:r>
      <w:r>
        <w:t xml:space="preserve">Received a written request showing cause that a person is in danger of serious bodily injury or death by another person and that the endangered person is relocating for the specific purpose of avoiding harm;</w:t>
      </w:r>
    </w:p>
    <w:p>
      <w:pPr>
        <w:jc w:val="both"/>
        <w:spacing w:before="100" w:after="0"/>
        <w:ind w:start="1080"/>
      </w:pPr>
      <w:r>
        <w:rPr/>
        <w:t>(</w:t>
        <w:t>2</w:t>
        <w:t xml:space="preserve">)  </w:t>
      </w:r>
      <w:r>
        <w:rPr/>
      </w:r>
      <w:r>
        <w:t xml:space="preserve">Consulted with the Commissioner of Public Safety or a designee of the commissioner and the Attorney General or a designee of the Attorney General; and</w:t>
      </w:r>
    </w:p>
    <w:p>
      <w:pPr>
        <w:jc w:val="both"/>
        <w:spacing w:before="100" w:after="0"/>
        <w:ind w:start="1080"/>
      </w:pPr>
      <w:r>
        <w:rPr/>
        <w:t>(</w:t>
        <w:t>3</w:t>
        <w:t xml:space="preserve">)  </w:t>
      </w:r>
      <w:r>
        <w:rPr/>
      </w:r>
      <w:r>
        <w:t xml:space="preserve">Determined that holding the endangered person's driver's license and motor vehicle registration records as confidential is in the best interest of public safety.</w:t>
      </w:r>
      <w:r>
        <w:t xml:space="preserve">  </w:t>
      </w:r>
      <w:r xmlns:wp="http://schemas.openxmlformats.org/drawingml/2010/wordprocessingDrawing" xmlns:w15="http://schemas.microsoft.com/office/word/2012/wordml">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§108 (AMD).]</w:t>
      </w:r>
    </w:p>
    <w:p>
      <w:pPr>
        <w:jc w:val="both"/>
        <w:spacing w:before="100" w:after="0"/>
        <w:ind w:start="360"/>
        <w:ind w:firstLine="360"/>
      </w:pPr>
      <w:r>
        <w:rPr>
          <w:b/>
        </w:rPr>
        <w:t>2</w:t>
        <w:t xml:space="preserve">.  </w:t>
      </w:r>
      <w:r>
        <w:rPr>
          <w:b/>
        </w:rPr>
        <w:t xml:space="preserve">Release of records.</w:t>
        <w:t xml:space="preserve"> </w:t>
      </w:r>
      <w:r>
        <w:t xml:space="preserve"> </w:t>
      </w:r>
      <w:r>
        <w:t xml:space="preserve">The Secretary of State may release information held in confidence pursuant to </w:t>
      </w:r>
      <w:r>
        <w:t>subsection 1</w:t>
      </w:r>
      <w:r>
        <w:t xml:space="preserve"> to law enforcement officers, insurance companies and municipal, county, state or federal agencies that demonstrate a necessity for the information.  The Secretary of State shall prescribe the conditions under which the information may be used and the person receiving the information may only use the information as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3</w:t>
        <w:t xml:space="preserve">.  </w:t>
      </w:r>
      <w:r>
        <w:rPr>
          <w:b/>
        </w:rPr>
        <w:t xml:space="preserve">Liability for release.</w:t>
        <w:t xml:space="preserve"> </w:t>
      </w:r>
      <w:r>
        <w:t xml:space="preserve"> </w:t>
      </w:r>
      <w:r>
        <w:t xml:space="preserve">Neither failure of the Secretary of State or an employee of the Secretary of State to perform the requirements of this section nor compliance with it subjects the Secretary of State or employees of the Secretary of State to liability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4</w:t>
        <w:t xml:space="preserve">.  </w:t>
      </w:r>
      <w:r>
        <w:rPr>
          <w:b/>
        </w:rPr>
        <w:t xml:space="preserve">Rules.</w:t>
        <w:t xml:space="preserve"> </w:t>
      </w:r>
      <w:r>
        <w:t xml:space="preserve"> </w:t>
      </w:r>
      <w:r>
        <w:t xml:space="preserve">The Secretary of State may, in consultation with the Commissioner of Public Safety and the Attorney General, adopt rules necessary for the implementation of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§B6 (NEW). PL 1995, c. 645, §B24 (AFF). PL 2023, c. 405, Pt. A, §108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 Confidentiality for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 Confidentiality for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 CONFIDENTIALITY FOR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