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§2073. Authority to regulate speeds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§2073. Authority to regulate speeds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§2073. AUTHORITY TO REGULATE SPEEDS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