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§2052. Divided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Divided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§2052. DIVIDED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