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1909-A</w:t>
        <w:t xml:space="preserve">.  </w:t>
      </w:r>
      <w:r>
        <w:rPr>
          <w:b/>
        </w:rPr>
        <w:t xml:space="preserve">Fog lights</w:t>
      </w:r>
    </w:p>
    <w:p>
      <w:pPr>
        <w:jc w:val="both"/>
        <w:spacing w:before="100" w:after="0"/>
        <w:ind w:start="360"/>
        <w:ind w:firstLine="360"/>
      </w:pPr>
      <w:r>
        <w:rPr>
          <w:b/>
        </w:rPr>
        <w:t>1</w:t>
        <w:t xml:space="preserve">.  </w:t>
      </w:r>
      <w:r>
        <w:rPr>
          <w:b/>
        </w:rPr>
        <w:t xml:space="preserve">Fog lights.</w:t>
        <w:t xml:space="preserve"> </w:t>
      </w:r>
      <w:r>
        <w:t xml:space="preserve"> </w:t>
      </w:r>
      <w:r>
        <w:t xml:space="preserve">A motor vehicle may be equipped with 2 fog lights upon the front of the motor vehicle that emit amber or white light as long as the rays from the lights do not shine more than 2 feet above the road at a distance of 30 feet.  A fog light mounted higher than the center of the main headlights may not be illuminated while a motor vehicle is being operated on a public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§1909-A. Fog lights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§1909-A. Fog lights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§1909-A. FOG LIGHTS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