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1458</w:t>
        <w:t xml:space="preserve">.  </w:t>
      </w:r>
      <w:r>
        <w:rPr>
          <w:b/>
        </w:rPr>
        <w:t xml:space="preserve">Entry into force and withdrawal --       Article VIII</w:t>
      </w:r>
    </w:p>
    <w:p>
      <w:pPr>
        <w:jc w:val="both"/>
        <w:spacing w:before="100" w:after="100"/>
        <w:ind w:start="360"/>
        <w:ind w:firstLine="360"/>
      </w:pPr>
      <w:r>
        <w:rPr/>
      </w:r>
      <w:r>
        <w:rPr/>
      </w:r>
      <w:r>
        <w:t xml:space="preserve">This compact must enter into force and become effective as to any state when it has enacted the same into law.</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Any party state may withdraw from this compact by enacting a statute repealing the same, but no such withdrawal may take effect until 6 months after the executive head of the withdrawing state has given notice of the withdrawal to the executive heads of all other party states. No withdrawal may affect the validity or applicability by the licensing authorities of the states remaining party to the compact of any report of conviction occurring prior to the withdrawal.</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§1458. Entry into force and withdrawal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§1458. Entry into force and withdrawal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§1458. ENTRY INTO FORCE AND WITHDRAWAL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