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104-A</w:t>
        <w:t xml:space="preserve">.  </w:t>
      </w:r>
      <w:r>
        <w:rPr>
          <w:b/>
        </w:rPr>
        <w:t xml:space="preserve">Office of Cannabis Policy</w:t>
      </w:r>
    </w:p>
    <w:p>
      <w:pPr>
        <w:jc w:val="both"/>
        <w:spacing w:before="100" w:after="100"/>
        <w:ind w:start="360"/>
        <w:ind w:firstLine="360"/>
      </w:pPr>
      <w:r>
        <w:rPr/>
      </w:r>
      <w:r>
        <w:rPr/>
      </w:r>
      <w:r>
        <w:t xml:space="preserve">The Legislature finds cannabis to be an emerging agricultural and manufacturing industry in the State contributing to the State's overall economy.</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w:pPr>
        <w:jc w:val="both"/>
        <w:spacing w:before="100" w:after="100"/>
        <w:ind w:start="360"/>
        <w:ind w:firstLine="360"/>
      </w:pPr>
      <w:r>
        <w:rPr/>
      </w:r>
      <w:r>
        <w:rPr/>
      </w:r>
      <w:r>
        <w:t xml:space="preserve">The Legislature further finds that a well-regulated cannabis industry remains the most effective tool in diminishing the impact of illicit-market cannabis activity within the State.</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w:pPr>
        <w:jc w:val="both"/>
        <w:spacing w:before="100" w:after="100"/>
        <w:ind w:start="360"/>
        <w:ind w:firstLine="360"/>
      </w:pPr>
      <w:r>
        <w:rPr/>
      </w:r>
      <w:r>
        <w:rPr/>
      </w:r>
      <w:r>
        <w:t xml:space="preserve">For these purposes, the Office of Cannabis Policy is established within the Department of Administrative and Financial Services and is maintained for the administration and enforcement of this Act and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§104-A. Office of Cannabis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§104-A. Office of Cannabis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§104-A. OFFICE OF CANNABIS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