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w:t>
        <w:t xml:space="preserve">.  </w:t>
      </w:r>
      <w:r>
        <w:rPr>
          <w:b/>
        </w:rPr>
        <w:t xml:space="preserve">Assistance from other state agencies</w:t>
      </w:r>
    </w:p>
    <w:p>
      <w:pPr>
        <w:jc w:val="both"/>
        <w:spacing w:before="100" w:after="100"/>
        <w:ind w:start="360"/>
        <w:ind w:firstLine="360"/>
      </w:pPr>
      <w:r>
        <w:rPr/>
      </w:r>
      <w:r>
        <w:rPr/>
      </w:r>
      <w:r>
        <w:t xml:space="preserve">The heads of the various state departments, agencies and institutions are authorized to consult with the Maine State Museum upon request concerning any aspect of museum operations. The Maine Arts Commission shall furnish the Maine State Museum Commission with such assistance as necessary to administer </w:t>
      </w:r>
      <w:r>
        <w:t>section 86‑A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1971, c. 485, §1 (AMD). PL 1985, c. 763, §A78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§87.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