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preserve the architectural, historic and environmental heritage of the people of the State, and to develop and promote the cultural, educational and economic benefits of these resources, the Maine Historic Preservation Commission, as established by </w:t>
      </w:r>
      <w:r>
        <w:t>Title 5, section 12004‑G, subsection 7‑D</w:t>
      </w:r>
      <w:r>
        <w:t xml:space="preserve">, shall work to implement this policy.</w:t>
      </w:r>
      <w:r>
        <w:t xml:space="preserve">  </w:t>
      </w:r>
      <w:r xmlns:wp="http://schemas.openxmlformats.org/drawingml/2010/wordprocessingDrawing" xmlns:w15="http://schemas.microsoft.com/office/word/2012/wordml">
        <w:rPr>
          <w:rFonts w:ascii="Arial" w:hAnsi="Arial" w:cs="Arial"/>
          <w:sz w:val="22"/>
          <w:szCs w:val="22"/>
        </w:rPr>
        <w:t xml:space="preserve">[PL 1989, c. 700,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1983, c. 812, §171 (AMD). PL 1989, c. 503, §B116 (AMD). PL 1989, c. 700, §B37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