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ARCHAEOLOGY</w:t>
      </w:r>
    </w:p>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center"/>
        <w:ind w:start="360"/>
        <w:spacing w:before="300" w:after="300"/>
      </w:pPr>
      <w:r>
        <w:rPr>
          <w:b/>
        </w:rPr>
        <w:t>SUBCHAPTER</w:t>
        <w:t xml:space="preserve"> </w:t>
        <w:t>2</w:t>
      </w:r>
    </w:p>
    <w:p>
      <w:pPr>
        <w:jc w:val="center"/>
        <w:ind w:start="360"/>
        <w:spacing w:before="300" w:after="300"/>
      </w:pPr>
      <w:r>
        <w:rPr>
          <w:b/>
        </w:rPr>
        <w:t xml:space="preserve">STATE-OWNED OBJECTS AND SPECIMENS</w:t>
      </w:r>
    </w:p>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ARCHAEOLOGY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ARCHAEOLOGY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13. ARCHAEOLOGY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