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He shall annually, on or before the first day of July make a report to the Governor. The Executive Director of the Maine Labor Relations Board, upon request of one or both of the parties to a dispute between an employer and its employees, shall, or upon his own motion or motion of the Maine Labor Relations Board may, proffer the services of one or more members of the panel to be selected by him, to serve as mediator or mediators in such a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shall then be the duty of the mediator or mediators to advise the parties of the services available to assist them in settlement of their dispute. At this time, the mediator or mediators shall submit a written report to the executive director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[PL 1979, c. 541, Pt. A, §170 (AMD).]</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553, §1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w:t>
      </w:r>
      <w:r>
        <w:t>paragraph A</w:t>
      </w:r>
      <w:r>
        <w:t xml:space="preserve">, they may jointly apply to the executive director or his designee to waive fact-finding. The executive director or his designee may accept or refuse to accept the parties' agreement to waive fact-finding and his decision shall not be reviewable.</w:t>
      </w:r>
      <w:r>
        <w:t xml:space="preserve">  </w:t>
      </w:r>
      <w:r xmlns:wp="http://schemas.openxmlformats.org/drawingml/2010/wordprocessingDrawing" xmlns:w15="http://schemas.microsoft.com/office/word/2012/wordml">
        <w:rPr>
          <w:rFonts w:ascii="Arial" w:hAnsi="Arial" w:cs="Arial"/>
          <w:sz w:val="22"/>
          <w:szCs w:val="22"/>
        </w:rPr>
        <w:t xml:space="preserve">[PL 1977, c. 696, §204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§61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30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30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972</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§18 (AMD).]</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