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643-A</w:t>
        <w:t xml:space="preserve">.  </w:t>
      </w:r>
      <w:r>
        <w:rPr>
          <w:b/>
        </w:rPr>
        <w:t xml:space="preserve">First aid requirements</w:t>
      </w:r>
    </w:p>
    <w:p>
      <w:pPr>
        <w:jc w:val="both"/>
        <w:spacing w:before="100" w:after="100"/>
        <w:ind w:start="360"/>
        <w:ind w:firstLine="360"/>
      </w:pPr>
      <w:r>
        <w:rPr/>
      </w:r>
      <w:r>
        <w:rPr/>
      </w:r>
      <w:r>
        <w:t xml:space="preserve">An employer must comply with the standards for first aid set forth in 29 Code of Federal Regulations, Section 1910.151 (2008).</w:t>
      </w:r>
      <w:r>
        <w:t xml:space="preserve">  </w:t>
      </w:r>
      <w:r xmlns:wp="http://schemas.openxmlformats.org/drawingml/2010/wordprocessingDrawing" xmlns:w15="http://schemas.microsoft.com/office/word/2012/wordml">
        <w:rPr>
          <w:rFonts w:ascii="Arial" w:hAnsi="Arial" w:cs="Arial"/>
          <w:sz w:val="22"/>
          <w:szCs w:val="22"/>
        </w:rPr>
        <w:t xml:space="preserve">[PL 2009, c. 201,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§643-A. First aid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§643-A. First aid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§643-A. FIRST AID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