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Penalties and enforcement</w:t>
      </w:r>
    </w:p>
    <w:p>
      <w:pPr>
        <w:jc w:val="both"/>
        <w:spacing w:before="100" w:after="100"/>
        <w:ind w:start="360"/>
        <w:ind w:firstLine="360"/>
      </w:pPr>
      <w:r>
        <w:rPr/>
      </w:r>
      <w:r>
        <w:rPr/>
      </w:r>
      <w:r>
        <w:t xml:space="preserve">Actions to enforce this subchapter may be brought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An employer who violates this subchapter or the rules adopted under this subchapter commits a civil violation for which a forfeiture of not less than $100 nor more than $1,000 for each violation, payable to the State, may be adjudged.  Each day that the violation remains uncorrected following notice to the employer may be counted as a separate offense.  The bureau may direct an employer to correct any violations in a manner and within a time frame that the bureau determines appropriate to ensure compliance with the rules or to protect the public health.  Failure to correct violations within a time frame established by the bureau constitutes a separate finable offense.  In the event of any violation of this subchapter, the Attorney General may seek to enjoin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Private right of action.</w:t>
        <w:t xml:space="preserve"> </w:t>
      </w:r>
      <w:r>
        <w:t xml:space="preserve"> </w:t>
      </w:r>
      <w:r>
        <w:t xml:space="preserve">A civil action may be brought against an employer of agricultural labor by any person aggrieved by a violation of this chapter or rules adopted under this subchapter.  If the court finds that the employer violated this subchapter or a rule adopted under this subchapter, it may award damages of not less than $100 nor more than $500 per plaintiff per violation, except that multiple infractions of a single rule under this subchapter constitute only one violation for the purposes of determining the amount of damages due a single plaintiff.  In determining the amount of damages to be awarded, the court is authorized to consider whether an attempt was made to resolve the issues in dispute before resort to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§588. Penalties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Penalties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§588. PENALTIES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