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I</w:t>
      </w:r>
      <w:r>
        <w:t xml:space="preserve"> to </w:t>
      </w:r>
      <w:r>
        <w:t>IV</w:t>
      </w:r>
      <w:r>
        <w:t xml:space="preserve">, the director may assess a forfeiture against any employer, officer, agent or other person who violates any provision of </w:t>
      </w:r>
      <w:r>
        <w:t>chapter 7, subchapters I</w:t>
      </w:r>
      <w:r>
        <w:t xml:space="preserve"> to </w:t>
      </w:r>
      <w:r>
        <w:t>IV</w:t>
      </w:r>
      <w:r>
        <w:t xml:space="preserve"> for each violation of those subchapters.  The forfeiture may not exceed $1,000 or the amount provided in law or rule as a penalty for the specific violation, whichever is less.  The Attorney General, upon complaint of the director, shall institute a civil action to recover the forfeiture.  Any amount recovered must be deposited with the Treasurer of State.  The director shall adopt rules to govern the administration of the civil money forfeiture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Additional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§53. ADDITIONAL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