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3702</w:t>
        <w:t xml:space="preserve">.  </w:t>
      </w:r>
      <w:r>
        <w:rPr>
          <w:b/>
        </w:rPr>
        <w:t xml:space="preserve">Establishment</w:t>
      </w:r>
    </w:p>
    <w:p>
      <w:pPr>
        <w:jc w:val="both"/>
        <w:spacing w:before="100" w:after="0"/>
        <w:ind w:start="360"/>
        <w:ind w:firstLine="360"/>
      </w:pPr>
      <w:r>
        <w:rPr>
          <w:b/>
        </w:rPr>
        <w:t>1</w:t>
        <w:t xml:space="preserve">.  </w:t>
      </w:r>
      <w:r>
        <w:rPr>
          <w:b/>
        </w:rPr>
        <w:t xml:space="preserve">Establishment.</w:t>
        <w:t xml:space="preserve"> </w:t>
      </w:r>
      <w:r>
        <w:t xml:space="preserve"> </w:t>
      </w:r>
      <w:r>
        <w:t xml:space="preserve">The Logging Dispute Resolution Board is established, under the authority of the State Board of Arbitration and Conciliation established in </w:t>
      </w:r>
      <w:r>
        <w:t>chapter 9, subchapter 2‑A</w:t>
      </w:r>
      <w:r>
        <w:t xml:space="preserve">, to conduct proceedings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665, §4 (NEW).]</w:t>
      </w:r>
    </w:p>
    <w:p>
      <w:pPr>
        <w:jc w:val="both"/>
        <w:spacing w:before="100" w:after="100"/>
        <w:ind w:start="360"/>
      </w:pPr>
      <w:r>
        <w:rPr>
          <w:b w:val="true"/>
          <w:i/>
          <w:caps w:val="true"/>
        </w:rPr>
        <w:t xml:space="preserve">Revisor's Note: </w:t>
      </w:r>
      <w:r>
        <w:t>§3702. Essential Support Workforce Advisory Committee (As enacted by PL 2021, c. 688, §2 is REALLOCATED TO TITLE 26, SECTION 3802)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665,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§3702. Establishment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§3702. Establishment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§3702. ESTABLISHMENT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