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Competitive Skills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Competitive Skills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§2033. COMPETITIVE SKILLS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