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w:t>
        <w:t xml:space="preserve">.  </w:t>
      </w:r>
      <w:r>
        <w:rPr>
          <w:b/>
        </w:rPr>
        <w:t xml:space="preserve">Funding</w:t>
      </w:r>
    </w:p>
    <w:p>
      <w:pPr>
        <w:jc w:val="both"/>
        <w:spacing w:before="100" w:after="100"/>
        <w:ind w:start="360"/>
        <w:ind w:firstLine="360"/>
      </w:pPr>
      <w:r>
        <w:rPr/>
      </w:r>
      <w:r>
        <w:rPr/>
      </w:r>
      <w:r>
        <w:t xml:space="preserve">Funds received from the United States pursuant to the Workforce Innovation and Opportunity Act must be deposited in the Employment Services Activity program account within the Department of Labor.  Funds must be deposited, administered and disbursed in the same manner and under the same conditions and requirements as provided by law for other federal funds in the State Treasury in accordance with </w:t>
      </w:r>
      <w:r>
        <w:t>Title 2, section 4</w:t>
      </w:r>
      <w:r>
        <w:t xml:space="preserve">.  The Governor shall make federal funds available to the local boards to be used to implement the Workforce Innovation and Opportunity Act within 30 days after the date the funds are made available to the Governor, in accordance with state procurement rules and the federal Cash Management Improvement Act of 1990.  The commissioner shall ensure that management and use of the federal funds comply with the requirements of the Workforce Innovation and Opportunity Act.  Federal funds in the account do not lapse but must be carried forward to be used to implement the Workforce Innovation and Opportunity Act.</w:t>
      </w:r>
      <w:r>
        <w:t xml:space="preserve">  </w:t>
      </w:r>
      <w:r xmlns:wp="http://schemas.openxmlformats.org/drawingml/2010/wordprocessingDrawing" xmlns:w15="http://schemas.microsoft.com/office/word/2012/wordml">
        <w:rPr>
          <w:rFonts w:ascii="Arial" w:hAnsi="Arial" w:cs="Arial"/>
          <w:sz w:val="22"/>
          <w:szCs w:val="22"/>
        </w:rPr>
        <w:t xml:space="preserve">[PL 2019, c. 246,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§14 (NEW). PL 2017, c. 110, §20 (AMD). PL 2019, c. 246,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§2007.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§2007.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