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§1167. Unemployment Program Administrative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§1167. UNEMPLOYMENT PROGRAM ADMINISTRATIVE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