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1-A</w:t>
        <w:t xml:space="preserve">.  </w:t>
      </w:r>
      <w:r>
        <w:rPr>
          <w:b/>
        </w:rPr>
        <w:t xml:space="preserve">Livable wage defined</w:t>
      </w:r>
    </w:p>
    <w:p>
      <w:pPr>
        <w:jc w:val="both"/>
        <w:spacing w:before="100" w:after="100"/>
        <w:ind w:start="360"/>
        <w:ind w:firstLine="360"/>
      </w:pPr>
      <w:r>
        <w:rPr/>
      </w:r>
      <w:r>
        <w:rPr/>
      </w:r>
      <w:r>
        <w:t xml:space="preserve">As used in this Title, unless the context otherwise indicates, "livable wage" means the statewide average livable wage for a 2-parent household with 2 earners and 2 children as reported by the Department of Labor in the most recent biennial report required pursuant to </w:t>
      </w:r>
      <w:r>
        <w:t>section 1406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569,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363, §1 (NEW). PL 2011, c. 569,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§1-A. Livable wage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§1-A. Livable wage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§1-A. LIVABLE WAGE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