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2923-A</w:t>
        <w:t xml:space="preserve">.  </w:t>
      </w:r>
      <w:r>
        <w:rPr>
          <w:b/>
        </w:rPr>
        <w:t xml:space="preserve">Requirements of municipalities, plantations, counties or unorganized territories</w:t>
      </w:r>
    </w:p>
    <w:p>
      <w:pPr>
        <w:jc w:val="both"/>
        <w:spacing w:before="100" w:after="100"/>
        <w:ind w:start="360"/>
        <w:ind w:firstLine="360"/>
      </w:pPr>
      <w:r>
        <w:rPr/>
      </w:r>
      <w:r>
        <w:rPr/>
      </w:r>
      <w:r>
        <w:t xml:space="preserve">Each municipality, plantation, county or unorganized territory that does not have a public safety answering point shall contract with an entity that does have a public safety answering point, which may be the department, for receiving 9-1-1 calls and, as appropriate, directly dispatching emergency services or, through transfer routing or relay routing, passing 9-1-1 calls to public or private safety agencies that dispatch emergency services.  If a municipality, plantation, county or unorganized territory without a public safety answering point does not enter into such an agreement, the department shall serve as the public safety answering point for that municipality, plantation, county or unorganized territory and the municipality, plantation, county or unorganized territory shall pay the department for the provision of those services.  Fees received by the department pursuant to this section must be deposited in the Consolidated Emergency Communications Fund established in </w:t>
      </w:r>
      <w:r>
        <w:t>section 1534</w:t>
      </w:r>
      <w:r>
        <w:t xml:space="preserve">. If a fee assessed to a municipality, plantation, county or unorganized territory for services provided pursuant to an agreement under this section or by the department is based in whole or in part on population, the population of the municipality, plantation, county or unorganized territory may not include persons held at a correctional facility, as defined in </w:t>
      </w:r>
      <w:r>
        <w:t>Title 34‑A, section 1001, subsection 6</w:t>
      </w:r>
      <w:r>
        <w:t xml:space="preserve">, within the municipality, plantation, county or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167,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622, §2 (NEW). PL 2011, c. 505, §3 (AMD). PL 2025, c. 167,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§2923-A. Requirements of municipalities, plantations, counties or unorganized territories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§2923-A. Requirements of municipalities, plantations, counties or unorganized territories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§2923-A. REQUIREMENTS OF MUNICIPALITIES, PLANTATIONS, COUNTIES OR UNORGANIZED TERRITORIES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