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Meetings</w:t>
      </w:r>
    </w:p>
    <w:p>
      <w:pPr>
        <w:jc w:val="both"/>
        <w:spacing w:before="100" w:after="100"/>
        <w:ind w:start="360"/>
        <w:ind w:firstLine="360"/>
      </w:pPr>
      <w:r>
        <w:rPr/>
      </w:r>
      <w:r>
        <w:rPr/>
      </w:r>
      <w:r>
        <w:t xml:space="preserve">The board of trustees shall meet at such time or times as may be reasonably necessary to carry out its duties, but it shall meet at least once in each calendar quarter at such place and time as the board determines and it shall meet at the call of the chair. The board shall organize annually by electing a  chair, vice-chair and secretary from among its members.</w:t>
      </w:r>
      <w:r>
        <w:t xml:space="preserve">  </w:t>
      </w:r>
      <w:r xmlns:wp="http://schemas.openxmlformats.org/drawingml/2010/wordprocessingDrawing" xmlns:w15="http://schemas.microsoft.com/office/word/2012/wordml">
        <w:rPr>
          <w:rFonts w:ascii="Arial" w:hAnsi="Arial" w:cs="Arial"/>
          <w:sz w:val="22"/>
          <w:szCs w:val="22"/>
        </w:rPr>
        <w:t xml:space="preserve">[RR 2023, c. 1,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§13 (AMD). PL 1975, c. 579, §8 (AMD). RR 2023, c. 1,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