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2482</w:t>
        <w:t xml:space="preserve">.  </w:t>
      </w:r>
      <w:r>
        <w:rPr>
          <w:b/>
        </w:rPr>
        <w:t xml:space="preserve">Rules</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shall adopt rules, which are routine technical rules pursuant to </w:t>
      </w:r>
      <w:r>
        <w:t>Title 5, chapter 375, subchapter II‑A</w:t>
      </w:r>
      <w:r>
        <w:t xml:space="preserve">, for the storage, handling, dispensing and secure transportation of flammable liquids.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exceptions apply.</w:t>
      </w:r>
    </w:p>
    <w:p>
      <w:pPr>
        <w:jc w:val="both"/>
        <w:spacing w:before="100" w:after="0"/>
        <w:ind w:start="720"/>
      </w:pPr>
      <w:r>
        <w:rPr/>
        <w:t>A</w:t>
        <w:t xml:space="preserve">.  </w:t>
      </w:r>
      <w:r>
        <w:rPr/>
      </w:r>
      <w:r>
        <w:t xml:space="preserve">This section does not apply to the storage in underground tanks of flammable liquids and other hazardous substances that are regulated by the Department of Environmental Protection under </w:t>
      </w:r>
      <w:r>
        <w:t>Title 38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720"/>
      </w:pPr>
      <w:r>
        <w:rPr/>
        <w:t>B</w:t>
        <w:t xml:space="preserve">.  </w:t>
      </w:r>
      <w:r>
        <w:rPr/>
      </w:r>
      <w:r>
        <w:t xml:space="preserve">This section does not apply to the storage or dispensing of propane and natural gas that is regulated by the Department of Professional and Financial Regulation under </w:t>
      </w:r>
      <w:r>
        <w:t>Title 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182,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 PL 2007, c. 182,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§2482.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