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2473</w:t>
        <w:t xml:space="preserve">.  </w:t>
      </w:r>
      <w:r>
        <w:rPr>
          <w:b/>
        </w:rPr>
        <w:t xml:space="preserve">Permits; requirements</w:t>
      </w:r>
    </w:p>
    <w:p>
      <w:pPr>
        <w:jc w:val="both"/>
        <w:spacing w:before="100" w:after="100"/>
        <w:ind w:start="360"/>
        <w:ind w:firstLine="360"/>
      </w:pPr>
      <w:r>
        <w:rPr/>
      </w:r>
      <w:r>
        <w:rPr/>
      </w:r>
      <w:r>
        <w:t xml:space="preserve">A person may not possess, use, store or transport explosives without a permit.  The commissioner shall issue a permit to an applicant who:</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w:pPr>
        <w:jc w:val="both"/>
        <w:spacing w:before="100" w:after="0"/>
        <w:ind w:start="360"/>
        <w:ind w:firstLine="360"/>
      </w:pPr>
      <w:r>
        <w:rPr>
          <w:b/>
        </w:rPr>
        <w:t>1</w:t>
        <w:t xml:space="preserve">.  </w:t>
      </w:r>
      <w:r>
        <w:rPr>
          <w:b/>
        </w:rPr>
        <w:t xml:space="preserve">Application.</w:t>
        <w:t xml:space="preserve"> </w:t>
      </w:r>
      <w:r>
        <w:t xml:space="preserve"> </w:t>
      </w:r>
      <w:r>
        <w:t xml:space="preserve">Completes an application form furnished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w:pPr>
        <w:jc w:val="both"/>
        <w:spacing w:before="100" w:after="100"/>
        <w:ind w:start="360"/>
        <w:ind w:firstLine="360"/>
      </w:pPr>
      <w:r>
        <w:rPr>
          <w:b/>
        </w:rPr>
        <w:t>2</w:t>
        <w:t xml:space="preserve">.  </w:t>
      </w:r>
      <w:r>
        <w:rPr>
          <w:b/>
        </w:rPr>
        <w:t xml:space="preserve">Financial responsibility.</w:t>
        <w:t xml:space="preserve"> </w:t>
      </w:r>
      <w:r>
        <w:t xml:space="preserve"> </w:t>
      </w:r>
      <w:r>
        <w:t xml:space="preserve">Includes proof in the application that the applicant maintains financial responsibility in the form of liability insurance or a surety bond as follows:</w:t>
      </w:r>
    </w:p>
    <w:p>
      <w:pPr>
        <w:jc w:val="both"/>
        <w:spacing w:before="100" w:after="0"/>
        <w:ind w:start="720"/>
      </w:pPr>
      <w:r>
        <w:rPr/>
        <w:t>A</w:t>
        <w:t xml:space="preserve">.  </w:t>
      </w:r>
      <w:r>
        <w:rPr/>
      </w:r>
      <w:r>
        <w:t xml:space="preserve">To obtain a permit with endorsements to possess, use or store explosives, a person must maintain financial responsibility in the form of liability insurance in an amount not less than $500,000; and</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w:pPr>
        <w:jc w:val="both"/>
        <w:spacing w:before="100" w:after="0"/>
        <w:ind w:start="720"/>
      </w:pPr>
      <w:r>
        <w:rPr/>
        <w:t>B</w:t>
        <w:t xml:space="preserve">.  </w:t>
      </w:r>
      <w:r>
        <w:rPr/>
      </w:r>
      <w:r>
        <w:t xml:space="preserve">To obtain a permit with an endorsement for intrastate transportation of explosives, a person must comply with the requirements in rules adopted pursuant to </w:t>
      </w:r>
      <w:r>
        <w:t>section 2103‑A</w:t>
      </w:r>
      <w:r>
        <w:t xml:space="preserve"> or </w:t>
      </w:r>
      <w:r>
        <w:t>2110</w:t>
      </w:r>
      <w:r>
        <w:t xml:space="preserve">, as applicable;</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w:pPr>
        <w:jc w:val="both"/>
        <w:spacing w:before="100" w:after="0"/>
        <w:ind w:start="360"/>
        <w:ind w:firstLine="360"/>
      </w:pPr>
      <w:r>
        <w:rPr>
          <w:b/>
        </w:rPr>
        <w:t>3</w:t>
        <w:t xml:space="preserve">.  </w:t>
      </w:r>
      <w:r>
        <w:rPr>
          <w:b/>
        </w:rPr>
        <w:t xml:space="preserve">Examination.</w:t>
        <w:t xml:space="preserve"> </w:t>
      </w:r>
      <w:r>
        <w:t xml:space="preserve"> </w:t>
      </w:r>
      <w:r>
        <w:t xml:space="preserve">Passes a written examination administered by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w:pPr>
        <w:jc w:val="both"/>
        <w:spacing w:before="100" w:after="0"/>
        <w:ind w:start="360"/>
        <w:ind w:firstLine="360"/>
      </w:pPr>
      <w:r>
        <w:rPr>
          <w:b/>
        </w:rPr>
        <w:t>4</w:t>
        <w:t xml:space="preserve">.  </w:t>
      </w:r>
      <w:r>
        <w:rPr>
          <w:b/>
        </w:rPr>
        <w:t xml:space="preserve">Citizenship.</w:t>
        <w:t xml:space="preserve"> </w:t>
      </w:r>
      <w:r>
        <w:t xml:space="preserve"> </w:t>
      </w:r>
      <w:r>
        <w:t xml:space="preserve">Is a citizen or resident alien of the United States;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w:t>
      </w:r>
    </w:p>
    <w:p>
      <w:pPr>
        <w:jc w:val="both"/>
        <w:spacing w:before="100" w:after="100"/>
        <w:ind w:start="360"/>
        <w:ind w:firstLine="360"/>
      </w:pPr>
      <w:r>
        <w:rPr>
          <w:b/>
        </w:rPr>
        <w:t>5</w:t>
        <w:t xml:space="preserve">.  </w:t>
      </w:r>
      <w:r>
        <w:rPr>
          <w:b/>
        </w:rPr>
        <w:t xml:space="preserve">Character.</w:t>
        <w:t xml:space="preserve"> </w:t>
      </w:r>
      <w:r>
        <w:t xml:space="preserve"> </w:t>
      </w:r>
      <w:r>
        <w:t xml:space="preserve">Demonstrates good moral character and has not been convicted of a crime punishable by a maximum term of imprisonment equal to or exceeding one year.  The determination of good moral character must be made in writing by the commissioner, based upon evidence recorded by a governmental entity.  The commissioner shall consider matters recorded within the previous 5 years, including, but not limited to, the following:</w:t>
      </w:r>
    </w:p>
    <w:p>
      <w:pPr>
        <w:jc w:val="both"/>
        <w:spacing w:before="100" w:after="0"/>
        <w:ind w:start="720"/>
      </w:pPr>
      <w:r>
        <w:rPr/>
        <w:t>A</w:t>
        <w:t xml:space="preserve">.  </w:t>
      </w:r>
      <w:r>
        <w:rPr/>
      </w:r>
      <w:r>
        <w:t xml:space="preserve">Records of incidents of abuse of family or household members by the applicant provided pursuant to </w:t>
      </w:r>
      <w:r>
        <w:t>Title 19‑A, section 4114,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647, Pt. B, §55 (AMD); PL 2021, c. 647, Pt. B, §65 (AFF).]</w:t>
      </w:r>
    </w:p>
    <w:p>
      <w:pPr>
        <w:jc w:val="both"/>
        <w:spacing w:before="100" w:after="0"/>
        <w:ind w:start="720"/>
      </w:pPr>
      <w:r>
        <w:rPr/>
        <w:t>B</w:t>
        <w:t xml:space="preserve">.  </w:t>
      </w:r>
      <w:r>
        <w:rPr/>
      </w:r>
      <w:r>
        <w:t xml:space="preserve">Records provided by the Department of Health and Human Services regarding the failure of the applicant to meet child or family support obligations;</w:t>
      </w:r>
      <w:r>
        <w:t xml:space="preserve">  </w:t>
      </w:r>
      <w:r xmlns:wp="http://schemas.openxmlformats.org/drawingml/2010/wordprocessingDrawing" xmlns:w15="http://schemas.microsoft.com/office/word/2012/wordml">
        <w:rPr>
          <w:rFonts w:ascii="Arial" w:hAnsi="Arial" w:cs="Arial"/>
          <w:sz w:val="22"/>
          <w:szCs w:val="22"/>
        </w:rPr>
        <w:t xml:space="preserve">[PL 1999, c. 652, §9 (NEW); PL 2003, c. 689, Pt. B, §6 (REV).]</w:t>
      </w:r>
    </w:p>
    <w:p>
      <w:pPr>
        <w:jc w:val="both"/>
        <w:spacing w:before="100" w:after="0"/>
        <w:ind w:start="720"/>
      </w:pPr>
      <w:r>
        <w:rPr/>
        <w:t>C</w:t>
        <w:t xml:space="preserve">.  </w:t>
      </w:r>
      <w:r>
        <w:rPr/>
      </w:r>
      <w:r>
        <w:t xml:space="preserve">Records of 3 or more convictions of the applicant for Class D or E crimes;</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w:pPr>
        <w:jc w:val="both"/>
        <w:spacing w:before="100" w:after="0"/>
        <w:ind w:start="720"/>
      </w:pPr>
      <w:r>
        <w:rPr/>
        <w:t>D</w:t>
        <w:t xml:space="preserve">.  </w:t>
      </w:r>
      <w:r>
        <w:rPr/>
      </w:r>
      <w:r>
        <w:t xml:space="preserve">Records of 3 or more civil violations by the applicant; and</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w:pPr>
        <w:jc w:val="both"/>
        <w:spacing w:before="100" w:after="0"/>
        <w:ind w:start="720"/>
      </w:pPr>
      <w:r>
        <w:rPr/>
        <w:t>E</w:t>
        <w:t xml:space="preserve">.  </w:t>
      </w:r>
      <w:r>
        <w:rPr/>
      </w:r>
      <w:r>
        <w:t xml:space="preserve">Records that the applicant has engaged in recklessness or negligence that endangered the safety of others.</w:t>
      </w:r>
      <w:r>
        <w:t xml:space="preserve">  </w:t>
      </w:r>
      <w:r xmlns:wp="http://schemas.openxmlformats.org/drawingml/2010/wordprocessingDrawing" xmlns:w15="http://schemas.microsoft.com/office/word/2012/wordml">
        <w:rPr>
          <w:rFonts w:ascii="Arial" w:hAnsi="Arial" w:cs="Arial"/>
          <w:sz w:val="22"/>
          <w:szCs w:val="22"/>
        </w:rPr>
        <w:t xml:space="preserve">[PL 1999, c. 652,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§55 (AMD);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652, §9 (NEW). PL 2003, c. 689, §B6 (REV). PL 2021, c. 647, Pt. B, §55 (AMD). PL 2021, c. 647, Pt. B, §65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§2473. Permits;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§2473. Permits;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§2473. PERMITS;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