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§2439. COMMON LAW REMEDY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