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1667</w:t>
        <w:t xml:space="preserve">.  </w:t>
      </w:r>
      <w:r>
        <w:rPr>
          <w:b/>
        </w:rPr>
        <w:t xml:space="preserve">Entry into force and withdrawal -- Article II</w:t>
      </w:r>
    </w:p>
    <w:p>
      <w:pPr>
        <w:jc w:val="both"/>
        <w:spacing w:before="100" w:after="0"/>
        <w:ind w:start="360"/>
        <w:ind w:firstLine="360"/>
      </w:pPr>
      <w:r>
        <w:rPr>
          <w:b/>
        </w:rPr>
        <w:t>1</w:t>
        <w:t xml:space="preserve">.  </w:t>
      </w:r>
      <w:r>
        <w:rPr>
          <w:b/>
        </w:rPr>
        <w:t xml:space="preserve">Force and effect.</w:t>
        <w:t xml:space="preserve"> </w:t>
      </w:r>
      <w:r>
        <w:t xml:space="preserve"> </w:t>
      </w:r>
      <w:r>
        <w:t xml:space="preserve">This compact shall enter into force when enacted into law by any 3 of the States of Connecticut, Maine, Massachusetts, New Hampshire, Rhode Island and Vermont. Thereafter, this compact shall become effective as to any other of the aforementioned states upon its enactment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2</w:t>
        <w:t xml:space="preserve">.  </w:t>
      </w:r>
      <w:r>
        <w:rPr>
          <w:b/>
        </w:rPr>
        <w:t xml:space="preserve">Withdrawal.</w:t>
        <w:t xml:space="preserve"> </w:t>
      </w:r>
      <w:r>
        <w:t xml:space="preserve"> </w:t>
      </w:r>
      <w:r>
        <w:t xml:space="preserve">Any party state may withdraw from this compact by enacting a statute repealing the same, but no such withdrawal shall take effect until one year after the governor of the withdrawing state has given notice in writing of the withdrawal to the governors of all other party states. No withdrawal shall affect any liability already incurred by or chargeable to a party state prior to the time of such withdrawal, and any records, files or information obtained by officers or employees of a withdrawing state shall continue to be kept, used and disposed of only in such manner as is consistent with this compact and any rules or regulations pursuant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§1667. Entry into force and withdrawal -- 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§1667. Entry into force and withdrawal -- 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§1667. ENTRY INTO FORCE AND WITHDRAWAL -- 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