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2349-A</w:t>
        <w:t xml:space="preserve">.  </w:t>
      </w:r>
      <w:r>
        <w:rPr>
          <w:b/>
        </w:rPr>
        <w:t xml:space="preserve">Medical child support</w:t>
      </w:r>
    </w:p>
    <w:p>
      <w:pPr>
        <w:jc w:val="both"/>
        <w:spacing w:before="100" w:after="100"/>
        <w:ind w:start="360"/>
        <w:ind w:firstLine="360"/>
      </w:pPr>
      <w:r>
        <w:rPr/>
      </w:r>
      <w:r>
        <w:rPr/>
      </w:r>
      <w:r>
        <w:t xml:space="preserve">A corporation organized pursuant to this chapter must comply with 42 United States Code, </w:t>
      </w:r>
      <w:r>
        <w:t>Section 1396g‑1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418,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418, §C1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§2349-A. Medical child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§2349-A. Medical child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§2349-A. MEDICAL CHILD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