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952-B</w:t>
        <w:t xml:space="preserve">.  </w:t>
      </w:r>
      <w:r>
        <w:rPr>
          <w:b/>
        </w:rPr>
        <w:t xml:space="preserve">Applicability of reserving methodologies</w:t>
      </w:r>
    </w:p>
    <w:p>
      <w:pPr>
        <w:jc w:val="both"/>
        <w:spacing w:before="100" w:after="100"/>
        <w:ind w:start="360"/>
        <w:ind w:firstLine="360"/>
      </w:pPr>
      <w:r>
        <w:rPr/>
      </w:r>
      <w:r>
        <w:rPr/>
      </w:r>
      <w:r>
        <w:t>Sections 953</w:t>
      </w:r>
      <w:r>
        <w:t xml:space="preserve"> to </w:t>
      </w:r>
      <w:r>
        <w:t>958‑A</w:t>
      </w:r>
      <w:r>
        <w:t xml:space="preserve"> do not apply to a policy or contract that is issued on or after the operative date of the valuation manual and is subject to </w:t>
      </w:r>
      <w:r>
        <w:t>section 959</w:t>
      </w:r>
      <w:r>
        <w:t xml:space="preserve">, unless those sections are made applicable by reference in whole or part in the valuation manual.</w:t>
      </w:r>
      <w:r>
        <w:t xml:space="preserve">  </w:t>
      </w:r>
      <w:r xmlns:wp="http://schemas.openxmlformats.org/drawingml/2010/wordprocessingDrawing" xmlns:w15="http://schemas.microsoft.com/office/word/2012/wordml">
        <w:rPr>
          <w:rFonts w:ascii="Arial" w:hAnsi="Arial" w:cs="Arial"/>
          <w:sz w:val="22"/>
          <w:szCs w:val="22"/>
        </w:rPr>
        <w:t xml:space="preserve">[PL 2013, c. 238, Pt. C,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C,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§952-B. Applicability of reserving methodologies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§952-B. Applicability of reserving methodologies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§952-B. APPLICABILITY OF RESERVING METHODOLOGIES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