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794</w:t>
        <w:t xml:space="preserve">.  </w:t>
      </w:r>
      <w:r>
        <w:rPr>
          <w:b/>
        </w:rPr>
        <w:t xml:space="preserve">Not subject to guaranty funds; residual market or similar arrangements</w:t>
      </w:r>
    </w:p>
    <w:p>
      <w:pPr>
        <w:jc w:val="both"/>
        <w:spacing w:before="100" w:after="0"/>
        <w:ind w:start="360"/>
        <w:ind w:firstLine="360"/>
      </w:pPr>
      <w:r>
        <w:rPr>
          <w:b/>
        </w:rPr>
        <w:t>1</w:t>
        <w:t xml:space="preserve">.  </w:t>
      </w:r>
      <w:r>
        <w:rPr>
          <w:b/>
        </w:rPr>
        <w:t xml:space="preserve">Guaranty funds.</w:t>
        <w:t xml:space="preserve"> </w:t>
      </w:r>
      <w:r>
        <w:t xml:space="preserve"> </w:t>
      </w:r>
      <w:r>
        <w:t xml:space="preserve">The special purpose reinsurance vehicle or the activities, assets and obligations relating to the reinsurance vehicle are not subject to the provisions of </w:t>
      </w:r>
      <w:r>
        <w:t>chapter 57, subchapter 3</w:t>
      </w:r>
      <w:r>
        <w:t xml:space="preserve"> or </w:t>
      </w:r>
      <w:r>
        <w:t>chapter 62</w:t>
      </w:r>
      <w:r>
        <w:t xml:space="preserve"> and a reinsurance vehicle may not be assessed by or otherwise be required to contribute to any guaranty fund or guaranty association in this State with respect to the activities, assets or obligations of a reinsurance vehicle or the ceding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2</w:t>
        <w:t xml:space="preserve">.  </w:t>
      </w:r>
      <w:r>
        <w:rPr>
          <w:b/>
        </w:rPr>
        <w:t xml:space="preserve">Residual market.</w:t>
        <w:t xml:space="preserve"> </w:t>
      </w:r>
      <w:r>
        <w:t xml:space="preserve"> </w:t>
      </w:r>
      <w:r>
        <w:t xml:space="preserve">The special purpose reinsurance vehicle may not be required to participate in any residual market, so-called "FAIR" plan or other similar plan to provide insurance coverage, take out policies, assume risks, make capital contributions, pay or be otherwise obligated for assessments, surcharges or fees or otherwise support or participate in such plans or arrangements.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§794. Not subject to guaranty funds; residual market or similar arrangements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§794. Not subject to guaranty funds; residual market or similar arrangements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§794. NOT SUBJECT TO GUARANTY FUNDS; RESIDUAL MARKET OR SIMILAR ARRANGEMENTS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