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Dissolution</w:t>
      </w:r>
    </w:p>
    <w:p>
      <w:pPr>
        <w:jc w:val="both"/>
        <w:spacing w:before="100" w:after="100"/>
        <w:ind w:start="360"/>
        <w:ind w:firstLine="360"/>
      </w:pPr>
      <w:r>
        <w:rPr/>
      </w:r>
      <w:r>
        <w:rPr/>
      </w:r>
      <w:r>
        <w:t xml:space="preserve">A special purpose reinsurance vehicle operating under this subchapter may be dissolved at any time by a vote of its directors under </w:t>
      </w:r>
      <w:r>
        <w:t>section 790</w:t>
      </w:r>
      <w:r>
        <w:t xml:space="preserve"> and after the action has been approved by the superintendent.  Voluntary dissolution may not be effected or allowed until and unless all of the obligations of the reinsurance vehicle pursuant to the insurance securitization or securitizations have been fully and finally satisfied pursuant to their terms.  In the case of voluntary dissolution, the disposition of the affairs of the reinsurance vehicle, including the settlement of all outstanding obligations, must be made by the officers or directors of the reinsurance vehicle and when the liquidation has been completed and a final statement in acceptable form has been filed with and approved by the superintendent the provisions for voluntary dissolution under </w:t>
      </w:r>
      <w:r>
        <w:t>section 3484</w:t>
      </w:r>
      <w:r>
        <w:t xml:space="preserve"> must be followed to dissolve the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2007, c. 386,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§792.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§792.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