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Examination authority</w:t>
      </w:r>
    </w:p>
    <w:p>
      <w:pPr>
        <w:jc w:val="both"/>
        <w:spacing w:before="100" w:after="0"/>
        <w:ind w:start="360"/>
        <w:ind w:firstLine="360"/>
      </w:pPr>
      <w:r>
        <w:rPr>
          <w:b/>
        </w:rPr>
        <w:t>1</w:t>
        <w:t xml:space="preserve">.  </w:t>
      </w:r>
      <w:r>
        <w:rPr>
          <w:b/>
        </w:rPr>
        <w:t xml:space="preserve">Authority.</w:t>
        <w:t xml:space="preserve"> </w:t>
      </w:r>
      <w:r>
        <w:t xml:space="preserve"> </w:t>
      </w:r>
      <w:r>
        <w:t xml:space="preserve">A reinsurance intermediary is subject to examination by the superintendent.  The superintendent must have access to all books, bank accounts and records of the reinsurance intermediary in a usable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Status.</w:t>
        <w:t xml:space="preserve"> </w:t>
      </w:r>
      <w:r>
        <w:t xml:space="preserve"> </w:t>
      </w:r>
      <w:r>
        <w:t xml:space="preserve">A reinsurance intermediary-manager may be examined as if it were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§751.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