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6721</w:t>
        <w:t xml:space="preserve">.  </w:t>
      </w:r>
      <w:r>
        <w:rPr>
          <w:b/>
        </w:rPr>
        <w:t xml:space="preserve">Rules for controlled unaffiliated business</w:t>
      </w:r>
    </w:p>
    <w:p>
      <w:pPr>
        <w:jc w:val="both"/>
        <w:spacing w:before="100" w:after="100"/>
        <w:ind w:start="360"/>
        <w:ind w:firstLine="360"/>
      </w:pPr>
      <w:r>
        <w:rPr/>
      </w:r>
      <w:r>
        <w:rPr/>
      </w:r>
      <w:r>
        <w:t xml:space="preserve">The superintendent may adopt rules establishing standards to ensure that a parent or affiliated company is able to exercise control of the risk management function of any controlled unaffiliated business to be insured by a pure captive insurance company. In the absence of any rules, the superintendent may approve the coverage of such risks by a pure captive insurance company upon request. Any rules adopted by the superintendent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§6721. Rules for controlled unaffiliated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§6721. Rules for controlled unaffiliated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§6721. RULES FOR CONTROLLED UNAFFILIATED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