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6104</w:t>
        <w:t xml:space="preserve">.  </w:t>
      </w:r>
      <w:r>
        <w:rPr>
          <w:b/>
        </w:rPr>
        <w:t xml:space="preserve">Rules</w:t>
      </w:r>
    </w:p>
    <w:p>
      <w:pPr>
        <w:jc w:val="both"/>
        <w:spacing w:before="100" w:after="100"/>
        <w:ind w:start="360"/>
        <w:ind w:firstLine="360"/>
      </w:pPr>
      <w:r>
        <w:rPr/>
      </w:r>
      <w:r>
        <w:rPr/>
      </w:r>
      <w:r>
        <w:t xml:space="preserve">The superintendent may establish and from time to time amend such rules relating to risk retention groups as may be necessary or desirable to carry out the provisions of this Act.</w:t>
      </w:r>
      <w:r>
        <w:t xml:space="preserve">  </w:t>
      </w:r>
      <w:r xmlns:wp="http://schemas.openxmlformats.org/drawingml/2010/wordprocessingDrawing" xmlns:w15="http://schemas.microsoft.com/office/word/2012/wordml">
        <w:rPr>
          <w:rFonts w:ascii="Arial" w:hAnsi="Arial" w:cs="Arial"/>
          <w:sz w:val="22"/>
          <w:szCs w:val="22"/>
        </w:rPr>
        <w:t xml:space="preserve">[PL 1987, c. 481,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481,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§6104.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§6104.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§6104.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