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4363</w:t>
        <w:t xml:space="preserve">.  </w:t>
      </w:r>
      <w:r>
        <w:rPr>
          <w:b/>
        </w:rPr>
        <w:t xml:space="preserve">Uniform Insurers Liquidation Act; severability; interpretation</w:t>
      </w:r>
    </w:p>
    <w:p>
      <w:pPr>
        <w:jc w:val="both"/>
        <w:spacing w:before="100" w:after="0"/>
        <w:ind w:start="360"/>
        <w:ind w:firstLine="360"/>
      </w:pPr>
      <w:r>
        <w:rPr>
          <w:b/>
        </w:rPr>
        <w:t>1</w:t>
        <w:t xml:space="preserve">.  </w:t>
      </w:r>
      <w:r>
        <w:rPr>
          <w:b/>
        </w:rPr>
      </w:r>
      <w:r>
        <w:t xml:space="preserve"> </w:t>
      </w:r>
      <w:r>
        <w:t xml:space="preserve">This section, </w:t>
      </w:r>
      <w:r>
        <w:t>section 4353</w:t>
      </w:r>
      <w:r>
        <w:t xml:space="preserve"> (definitions), and </w:t>
      </w:r>
      <w:r>
        <w:t>sections 4364</w:t>
      </w:r>
      <w:r>
        <w:t xml:space="preserve"> to </w:t>
      </w:r>
      <w:r>
        <w:t>4369</w:t>
      </w:r>
      <w:r>
        <w:t xml:space="preserve"> comprise and may be cited as the Uniform Insurers Liquidation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provision of the Uniform Insurers Liquidation Act or the application thereof to any person or circumstances is held invalid, such invalidity shall not affect other provisions or applications of the Act which can be given effect without the invalid provision or application, and to this end the provisions of the Act are declared to be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This Uniform Insurers Liquidation Act shall be so interpreted as to effectuate its general purpose to make uniform the laws of those states which enact it. To the extent that its provisions, when applicable, conflict with other provisions of this Title, the Uniform Insurers Liquidation Act shall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§4363. Uniform Insurers Liquidation Act; severability;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§4363. Uniform Insurers Liquidation Act; severability;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§4363. UNIFORM INSURERS LIQUIDATION ACT; SEVERABILITY;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