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Scope of provisions</w:t>
      </w:r>
    </w:p>
    <w:p>
      <w:pPr>
        <w:jc w:val="both"/>
        <w:spacing w:before="100" w:after="100"/>
        <w:ind w:start="360"/>
        <w:ind w:firstLine="360"/>
      </w:pPr>
      <w:r>
        <w:rPr/>
      </w:r>
      <w:r>
        <w:rPr/>
      </w:r>
      <w:r>
        <w:t xml:space="preserve">The applicable provisions of this chapter shall apply as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All insurers authorized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insurers having policyholders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insurers against whom a claim under an insurance contract may arise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persons in process of organization, or holding themselves out as organizing, or proposing to organize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5</w:t>
        <w:t xml:space="preserve">.  </w:t>
      </w:r>
      <w:r>
        <w:rPr>
          <w:b/>
        </w:rPr>
      </w:r>
      <w:r>
        <w:t xml:space="preserve"> </w:t>
      </w:r>
      <w:r>
        <w:t xml:space="preserve">All other persons as to whom such provisions are otherwise expressly made applicable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6</w:t>
        <w:t xml:space="preserve">.  </w:t>
      </w:r>
      <w:r>
        <w:rPr>
          <w:b/>
        </w:rPr>
      </w:r>
      <w:r>
        <w:t xml:space="preserve"> </w:t>
      </w:r>
      <w:r>
        <w:t xml:space="preserve">Health maintenance organizations, which are considered insurers for the purposes of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§4351. Scope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Scope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§4351. SCOPE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