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4318-B</w:t>
        <w:t xml:space="preserve">.  </w:t>
      </w:r>
      <w:r>
        <w:rPr>
          <w:b/>
        </w:rPr>
        <w:t xml:space="preserve">Access to lower-priced services</w:t>
      </w:r>
    </w:p>
    <w:p>
      <w:pPr>
        <w:jc w:val="both"/>
        <w:spacing w:before="100" w:after="0"/>
        <w:ind w:start="360"/>
        <w:ind w:firstLine="360"/>
      </w:pPr>
      <w:r>
        <w:rPr>
          <w:b/>
        </w:rPr>
        <w:t>1</w:t>
        <w:t xml:space="preserve">.  </w:t>
      </w:r>
      <w:r>
        <w:rPr>
          <w:b/>
        </w:rPr>
        <w:t xml:space="preserve">Services from out-of-network provider; lower prices.</w:t>
        <w:t xml:space="preserve"> </w:t>
      </w:r>
      <w:r>
        <w:t xml:space="preserve"> </w:t>
      </w:r>
      <w:r>
        <w:t xml:space="preserve">Beginning January 1, 2019, if an enrollee covered under a health plan other than a health maintenance organization plan elects to obtain a covered comparable health care service as defined in </w:t>
      </w:r>
      <w:r>
        <w:t>section 4318‑A, subsection 1, paragraph A</w:t>
      </w:r>
      <w:r>
        <w:t xml:space="preserve">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w:t>
      </w:r>
    </w:p>
    <w:p>
      <w:pPr>
        <w:jc w:val="both"/>
        <w:spacing w:before="100" w:after="0"/>
        <w:ind w:start="360"/>
        <w:ind w:firstLine="360"/>
      </w:pPr>
      <w:r>
        <w:rPr>
          <w:b/>
        </w:rPr>
        <w:t>2</w:t>
        <w:t xml:space="preserve">.  </w:t>
      </w:r>
      <w:r>
        <w:rPr>
          <w:b/>
        </w:rPr>
        <w:t xml:space="preserve">Rules.</w:t>
        <w:t xml:space="preserve"> </w:t>
      </w:r>
      <w:r>
        <w:t xml:space="preserve"> </w:t>
      </w:r>
      <w:r>
        <w:t xml:space="preserve">The superintendent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224,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§9 (NEW). PL 2023, c. 224,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§4318-B. Access to lower-priced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§4318-B. Access to lower-priced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§4318-B. ACCESS TO LOWER-PRICED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