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4242</w:t>
        <w:t xml:space="preserve">.  </w:t>
      </w:r>
      <w:r>
        <w:rPr>
          <w:b/>
        </w:rPr>
        <w:t xml:space="preserve">Coverage for Pap tests</w:t>
      </w:r>
    </w:p>
    <w:p>
      <w:pPr>
        <w:jc w:val="both"/>
        <w:spacing w:before="100" w:after="100"/>
        <w:ind w:start="360"/>
      </w:pPr>
      <w:r>
        <w:rPr>
          <w:b/>
        </w:rPr>
        <w:t>(REALLOCATED FROM TITLE 24-A, SECTION 4240)</w:t>
      </w:r>
    </w:p>
    <w:p>
      <w:pPr>
        <w:jc w:val="both"/>
        <w:spacing w:before="100" w:after="100"/>
        <w:ind w:start="360"/>
        <w:ind w:firstLine="360"/>
      </w:pPr>
      <w:r>
        <w:rPr/>
      </w:r>
      <w:r>
        <w:rPr/>
      </w:r>
      <w:r>
        <w:t xml:space="preserve">All health maintenance organization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§12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2003, c. 517, §A12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§4242. Coverage for Pap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§4242. Coverage for Pap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§4242. COVERAGE FOR PAP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