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Formation of new assessment plan insurers</w:t>
      </w:r>
    </w:p>
    <w:p>
      <w:pPr>
        <w:jc w:val="both"/>
        <w:spacing w:before="100" w:after="100"/>
        <w:ind w:start="360"/>
        <w:ind w:firstLine="360"/>
      </w:pPr>
      <w:r>
        <w:rPr/>
      </w:r>
      <w:r>
        <w:rPr/>
      </w:r>
      <w:r>
        <w:t xml:space="preserve">Assessment plan insurers must be formed under the applicable provisions of </w:t>
      </w:r>
      <w:r>
        <w:t>sections 3306</w:t>
      </w:r>
      <w:r>
        <w:t xml:space="preserve"> (incorporation of domestic stock, mutual insurers) to </w:t>
      </w:r>
      <w:r>
        <w:t>3309</w:t>
      </w:r>
      <w:r>
        <w:t xml:space="preserve"> (completion of incorporation; general powers, duties), except that the articles of incorporation of the corporation must stipulate that the corporation is formed to transact insurance on the assessment plan and other provisions contained in the certificate must be consistent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299,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Formation of new assessment plan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§3605. FORMATION OF NEW ASSESSMENT PLAN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