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Insuring powers; reinsurance</w:t>
      </w:r>
    </w:p>
    <w:p>
      <w:pPr>
        <w:jc w:val="both"/>
        <w:spacing w:before="100" w:after="0"/>
        <w:ind w:start="360"/>
        <w:ind w:firstLine="360"/>
      </w:pPr>
      <w:r>
        <w:rPr>
          <w:b/>
        </w:rPr>
        <w:t>1</w:t>
        <w:t xml:space="preserve">.  </w:t>
      </w:r>
      <w:r>
        <w:rPr>
          <w:b/>
        </w:rPr>
      </w:r>
      <w:r>
        <w:t xml:space="preserve"> </w:t>
      </w:r>
      <w:r>
        <w:t xml:space="preserve">An assessment plan insurer shall have authority to transact, and shall transact only such insurance as is permitted by its charter and by its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such insurer shall have power to cede reinsurance of any risk or part thereof which it is authorized to insure direct; and shall have power to accept reinsurance from other domestic assessment plan insurers of any risk which it has authority to insure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Insuring powers;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Insuring powers;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§3604. INSURING POWERS;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