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3005</w:t>
        <w:t xml:space="preserve">.  </w:t>
      </w:r>
      <w:r>
        <w:rPr>
          <w:b/>
        </w:rPr>
        <w:t xml:space="preserve">Cancellation of standard fire policy for nonpayment of premium</w:t>
      </w:r>
    </w:p>
    <w:p>
      <w:pPr>
        <w:jc w:val="both"/>
        <w:spacing w:before="100" w:after="100"/>
        <w:ind w:start="360"/>
        <w:ind w:firstLine="360"/>
      </w:pPr>
      <w:r>
        <w:rPr/>
      </w:r>
      <w:r>
        <w:rPr/>
      </w:r>
      <w:r>
        <w:t xml:space="preserve">An insurer issuing fire insurance policies on property in this State, under the standard form required by </w:t>
      </w:r>
      <w:r>
        <w:t>section 3002</w:t>
      </w:r>
      <w:r>
        <w:t xml:space="preserve">, may cancel any such policy in the manner provided by law without tendering to the assured a ratable proportion of the premium, if the premium has not been paid to the insurer or its agent, or to a duly licensed insurance broker through whom the contract of insurance was negotiated.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§3005. Cancellation of standard fire policy for nonpayment of premium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§3005. Cancellation of standard fire policy for nonpayment of premium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§3005. CANCELLATION OF STANDARD FIRE POLICY FOR NONPAYMENT OF PREMIUM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