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individual health policies, which provide coverage on an expense incurred basis for inpatient hospital care, shall make available such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b/>
        </w:rPr>
        <w:t>1</w:t>
        <w:t xml:space="preserve">.  </w:t>
      </w:r>
      <w:r>
        <w:rPr>
          <w:b/>
        </w:rPr>
        <w:t xml:space="preserve">Definition of 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§242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 RR 2021, c. 1, Pt. B, §242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§2745. Home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 Home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 HOME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