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2480</w:t>
        <w:t xml:space="preserve">.  </w:t>
      </w:r>
      <w:r>
        <w:rPr>
          <w:b/>
        </w:rPr>
        <w:t xml:space="preserve">Dispute resolution -- Article 9</w:t>
      </w:r>
    </w:p>
    <w:p>
      <w:pPr>
        <w:jc w:val="both"/>
        <w:spacing w:before="100" w:after="100"/>
        <w:ind w:start="360"/>
        <w:ind w:firstLine="360"/>
      </w:pPr>
      <w:r>
        <w:rPr/>
      </w:r>
      <w:r>
        <w:rPr/>
      </w:r>
      <w:r>
        <w:t xml:space="preserve">The commission shall attempt, upon the request of a member, to resolve any disputes or other issues that are subject to this compact and that may arise between 2 or more compacting states, or between compacting states and noncompacting states, and the commission shall promulgate an operating procedure providing for resolution of such disputes.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§2480. Dispute resolution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§2480. Dispute resolution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§2480. DISPUTE RESOLUTION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