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§2452. EMPLOYEE BENEFIT EXCESS INSURANCE; NONDISCRIMINATION; PROHIBITED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