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2244</w:t>
        <w:t xml:space="preserve">.  </w:t>
      </w:r>
      <w:r>
        <w:rPr>
          <w:b/>
        </w:rPr>
        <w:t xml:space="preserve">Jurisdiction; filing</w:t>
      </w:r>
    </w:p>
    <w:p>
      <w:pPr>
        <w:jc w:val="both"/>
        <w:spacing w:before="100" w:after="0"/>
        <w:ind w:start="360"/>
        <w:ind w:firstLine="360"/>
      </w:pPr>
      <w:r>
        <w:rPr>
          <w:b/>
        </w:rPr>
        <w:t>1</w:t>
        <w:t xml:space="preserve">.  </w:t>
      </w:r>
      <w:r>
        <w:rPr>
          <w:b/>
        </w:rPr>
        <w:t xml:space="preserve">Jurisdiction.</w:t>
        <w:t xml:space="preserve"> </w:t>
      </w:r>
      <w:r>
        <w:t xml:space="preserve"> </w:t>
      </w:r>
      <w:r>
        <w:t xml:space="preserve">The Superior Court has nonexclusive jurisdiction over any application for authorization under this chapter of a transfer of structured settlement payment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268, §2 (NEW).]</w:t>
      </w:r>
    </w:p>
    <w:p>
      <w:pPr>
        <w:jc w:val="both"/>
        <w:spacing w:before="100" w:after="100"/>
        <w:ind w:start="360"/>
        <w:ind w:firstLine="360"/>
      </w:pPr>
      <w:r>
        <w:rPr>
          <w:b/>
        </w:rPr>
        <w:t>2</w:t>
        <w:t xml:space="preserve">.  </w:t>
      </w:r>
      <w:r>
        <w:rPr>
          <w:b/>
        </w:rPr>
        <w:t xml:space="preserve">Filing.</w:t>
        <w:t xml:space="preserve"> </w:t>
      </w:r>
      <w:r>
        <w:t xml:space="preserve"> </w:t>
      </w:r>
      <w:r>
        <w:t xml:space="preserve">Not less than 30 days prior to the scheduled hearing on any application for authorization of a transfer of structured settlement payment rights under this chapter, the transferee shall file with the court or responsible administrative authority and serve on any other government authority that previously approved the structured settlement, all interested parties, the structured settlement obligor and annuity issuer a notice of the proposed transfer and the application of its authorization, including in that notice:</w:t>
      </w:r>
    </w:p>
    <w:p>
      <w:pPr>
        <w:jc w:val="both"/>
        <w:spacing w:before="100" w:after="0"/>
        <w:ind w:start="720"/>
      </w:pPr>
      <w:r>
        <w:rPr/>
        <w:t>A</w:t>
        <w:t xml:space="preserve">.  </w:t>
      </w:r>
      <w:r>
        <w:rPr/>
      </w:r>
      <w:r>
        <w:t xml:space="preserve">A copy of the transferee's application;</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B</w:t>
        <w:t xml:space="preserve">.  </w:t>
      </w:r>
      <w:r>
        <w:rPr/>
      </w:r>
      <w:r>
        <w:t xml:space="preserve">A copy of the transfer agreement;</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C</w:t>
        <w:t xml:space="preserve">.  </w:t>
      </w:r>
      <w:r>
        <w:rPr/>
      </w:r>
      <w:r>
        <w:t xml:space="preserve">A copy of the disclosure statement required under </w:t>
      </w:r>
      <w:r>
        <w:t>section 2243,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D</w:t>
        <w:t xml:space="preserve">.  </w:t>
      </w:r>
      <w:r>
        <w:rPr/>
      </w:r>
      <w:r>
        <w:t xml:space="preserve">Notification that any interested party, structured settlement obligor or annuity issuer is entitled to support, oppose or otherwise respond to the transferee's application, either in person or by counsel, by submitting written comments to the court or responsible administrative authority or by participating in the hearing; and</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E</w:t>
        <w:t xml:space="preserve">.  </w:t>
      </w:r>
      <w:r>
        <w:rPr/>
      </w:r>
      <w:r>
        <w:t xml:space="preserve">Notification of the time and place of the hearing and notification of the manner in which and the time by which written responses to the application must be filed, which may be not less than 30 days after service of the transferee's notice, in order to be considered by the court or responsible administrative authority.</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§2244. Jurisdiction;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§2244. Jurisdiction;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§2244. JURISDICTION;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