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2216</w:t>
        <w:t xml:space="preserve">.  </w:t>
      </w:r>
      <w:r>
        <w:rPr>
          <w:b/>
        </w:rPr>
        <w:t xml:space="preserve">Insurance support organizations</w:t>
      </w:r>
    </w:p>
    <w:p>
      <w:pPr>
        <w:jc w:val="both"/>
        <w:spacing w:before="100" w:after="0"/>
        <w:ind w:start="360"/>
        <w:ind w:firstLine="360"/>
      </w:pPr>
      <w:r>
        <w:rPr>
          <w:b/>
        </w:rPr>
        <w:t>1</w:t>
        <w:t xml:space="preserve">.  </w:t>
      </w:r>
      <w:r>
        <w:rPr>
          <w:b/>
        </w:rPr>
        <w:t xml:space="preserve">Examination and investigation.</w:t>
        <w:t xml:space="preserve"> </w:t>
      </w:r>
      <w:r>
        <w:t xml:space="preserve"> </w:t>
      </w:r>
      <w:r>
        <w:t xml:space="preserve">The superintendent may examine and investigate into the affairs of every insurance support organization acting on behalf of a regulated insurance entity that either transacts business in this State or transacts business outside this State that has an effect on a resident of this State in order to determine whether the insurance support organization has been or is engaged in any conduct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677, §3 (NEW); PL 1997, c. 677, §5 (AFF).]</w:t>
      </w:r>
    </w:p>
    <w:p>
      <w:pPr>
        <w:jc w:val="both"/>
        <w:spacing w:before="100" w:after="0"/>
        <w:ind w:start="360"/>
        <w:ind w:firstLine="360"/>
      </w:pPr>
      <w:r>
        <w:rPr>
          <w:b/>
        </w:rPr>
        <w:t>2</w:t>
        <w:t xml:space="preserve">.  </w:t>
      </w:r>
      <w:r>
        <w:rPr>
          <w:b/>
        </w:rPr>
        <w:t xml:space="preserve">Service of process.</w:t>
        <w:t xml:space="preserve"> </w:t>
      </w:r>
      <w:r>
        <w:t xml:space="preserve"> </w:t>
      </w:r>
      <w:r>
        <w:t xml:space="preserve">An insurance support organization transacting business outside this State that has an effect on a resident of this State is deemed to have appointed the superintendent to accept service of process on its behalf.  Service is complete when the superintendent sends a copy of the process by registered mail to the insurance support organization at its last known principal place of business.  The return receipt is sufficient proof that notice was properly mailed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677, §3 (NEW); PL 1997, c. 677,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677, §3 (NEW). PL 1997, c. 677,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§2216. Insurance support organizations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§2216. Insurance support organizations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§2216. INSURANCE SUPPORT ORGANIZATIONS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