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1416-A</w:t>
        <w:t xml:space="preserve">.  </w:t>
      </w:r>
      <w:r>
        <w:rPr>
          <w:b/>
        </w:rPr>
        <w:t xml:space="preserve">License continuation or termination</w:t>
      </w:r>
    </w:p>
    <w:p>
      <w:pPr>
        <w:jc w:val="both"/>
        <w:spacing w:before="100" w:after="0"/>
        <w:ind w:start="360"/>
        <w:ind w:firstLine="360"/>
      </w:pPr>
      <w:r>
        <w:rPr>
          <w:b/>
        </w:rPr>
        <w:t>1</w:t>
        <w:t xml:space="preserve">.  </w:t>
      </w:r>
      <w:r>
        <w:rPr>
          <w:b/>
        </w:rPr>
        <w:t xml:space="preserve">License for indefinite term.</w:t>
        <w:t xml:space="preserve"> </w:t>
      </w:r>
      <w:r>
        <w:t xml:space="preserve"> </w:t>
      </w:r>
      <w:r>
        <w:t xml:space="preserve">Each license issued under this chapter continues in force continuously, unless suspended, revoked or otherwise terminated by the superintendent, as long as any applicable fee set forth in </w:t>
      </w:r>
      <w:r>
        <w:t>section 601</w:t>
      </w:r>
      <w:r>
        <w:t xml:space="preserve"> is paid and education requirements for resident licensees are met by the due date.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259, §18 (NEW).]</w:t>
      </w:r>
    </w:p>
    <w:p>
      <w:pPr>
        <w:jc w:val="both"/>
        <w:spacing w:before="100" w:after="0"/>
        <w:ind w:start="360"/>
        <w:ind w:firstLine="360"/>
      </w:pPr>
      <w:r>
        <w:rPr>
          <w:b/>
        </w:rPr>
        <w:t>2</w:t>
        <w:t xml:space="preserve">.  </w:t>
      </w:r>
      <w:r>
        <w:rPr>
          <w:b/>
        </w:rPr>
        <w:t xml:space="preserve">Biennial license continuation fees.</w:t>
        <w:t xml:space="preserve"> </w:t>
      </w:r>
      <w:r>
        <w:t xml:space="preserve"> </w:t>
      </w:r>
      <w:r>
        <w:t xml:space="preserve">Each nonresident adjuster and consultant must be billed by the superintendent a biennial fee as provided in </w:t>
      </w:r>
      <w:r>
        <w:t>section 601</w:t>
      </w:r>
      <w:r>
        <w:t xml:space="preserve"> and shall pay the fee due by January 1st of even-numbered years.   Each nonresident business entity must be billed by the superintendent a biennial fee as provided in </w:t>
      </w:r>
      <w:r>
        <w:t>section 601</w:t>
      </w:r>
      <w:r>
        <w:t xml:space="preserve"> and shall pay the fee due by April 1st of odd-numbered years.  Each resident adjuster must be billed by the superintendent a biennial fee as provided in </w:t>
      </w:r>
      <w:r>
        <w:t>section 601</w:t>
      </w:r>
      <w:r>
        <w:t xml:space="preserve"> and shall pay the fee due by October 1st of even-numbered years.  Each resident consultant must be billed by the superintendent a biennial fee as provided in </w:t>
      </w:r>
      <w:r>
        <w:t>section 601</w:t>
      </w:r>
      <w:r>
        <w:t xml:space="preserve"> and shall pay the fee due by the date the completion of the consultant's biennial education requirements is due in accordance with </w:t>
      </w:r>
      <w:r>
        <w:t>section 1482</w:t>
      </w:r>
      <w:r>
        <w:t xml:space="preserve">.  Each resident business entity must be billed by the superintendent a biennial fee as provided in </w:t>
      </w:r>
      <w:r>
        <w:t>section 601</w:t>
      </w:r>
      <w:r>
        <w:t xml:space="preserve"> and shall pay the fee due by December 1st of even-numbered years.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49, §1 (AMD).]</w:t>
      </w:r>
    </w:p>
    <w:p>
      <w:pPr>
        <w:jc w:val="both"/>
        <w:spacing w:before="100" w:after="0"/>
        <w:ind w:start="360"/>
        <w:ind w:firstLine="360"/>
      </w:pPr>
      <w:r>
        <w:rPr>
          <w:b/>
        </w:rPr>
        <w:t>3</w:t>
        <w:t xml:space="preserve">.  </w:t>
      </w:r>
      <w:r>
        <w:rPr>
          <w:b/>
        </w:rPr>
        <w:t xml:space="preserve">Suspension or revocation.</w:t>
        <w:t xml:space="preserve"> </w:t>
      </w:r>
      <w:r>
        <w:t xml:space="preserve"> </w:t>
      </w:r>
      <w:r>
        <w:t xml:space="preserve">Failure to pay the required fees by a licensee within 90 days from the due date results in suspension or revocation of the license pursuant to </w:t>
      </w:r>
      <w:r>
        <w:t>section 1417</w:t>
      </w:r>
      <w:r>
        <w:t xml:space="preserve">, for violating the insurance laws pursuant to </w:t>
      </w:r>
      <w:r>
        <w:t>section 1420‑K, subsection 1, paragraph B</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259, §18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259, §18 (NEW). PL 2005, c. 43, §1 (AMD). PL 2015, c. 49, §1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§1416-A. License continuation or termination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§1416-A. License continuation or termination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24-A, §1416-A. LICENSE CONTINUATION OR TERMINATION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